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D0" w:rsidRDefault="00FD7B0B">
      <w:pPr>
        <w:pStyle w:val="10"/>
        <w:framePr w:w="8563" w:h="1316" w:hRule="exact" w:wrap="none" w:vAnchor="page" w:hAnchor="page" w:x="1896" w:y="1647"/>
        <w:shd w:val="clear" w:color="auto" w:fill="auto"/>
        <w:spacing w:after="143" w:line="260" w:lineRule="exact"/>
        <w:ind w:right="80"/>
      </w:pPr>
      <w:bookmarkStart w:id="0" w:name="bookmark0"/>
      <w:bookmarkStart w:id="1" w:name="_GoBack"/>
      <w:bookmarkEnd w:id="1"/>
      <w:r>
        <w:rPr>
          <w:rStyle w:val="11"/>
          <w:b/>
          <w:bCs/>
        </w:rPr>
        <w:t>ОТЧЕТЕН ДОКЛАД</w:t>
      </w:r>
      <w:bookmarkEnd w:id="0"/>
    </w:p>
    <w:p w:rsidR="00AE71D0" w:rsidRDefault="00FD7B0B">
      <w:pPr>
        <w:pStyle w:val="30"/>
        <w:framePr w:w="8563" w:h="1316" w:hRule="exact" w:wrap="none" w:vAnchor="page" w:hAnchor="page" w:x="1896" w:y="1647"/>
        <w:shd w:val="clear" w:color="auto" w:fill="auto"/>
        <w:spacing w:before="0" w:after="0"/>
        <w:ind w:right="80"/>
      </w:pPr>
      <w:r>
        <w:rPr>
          <w:rStyle w:val="31"/>
          <w:b/>
          <w:bCs/>
        </w:rPr>
        <w:t>НА ПРОВЕРИТЕЛНАТА КОМИСИЯ, ОТНОСНО ИЗВЪРШЕНА ПРОВЕРКА НА</w:t>
      </w:r>
      <w:r>
        <w:rPr>
          <w:rStyle w:val="31"/>
          <w:b/>
          <w:bCs/>
        </w:rPr>
        <w:br/>
        <w:t>ФИНАНСОВОТО И МАТЕРИАЛНОТО СЪСТОЯНИЕ НА НЧ „ПРОСВЕТА -1862 ”</w:t>
      </w:r>
      <w:r>
        <w:rPr>
          <w:rStyle w:val="31"/>
          <w:b/>
          <w:bCs/>
        </w:rPr>
        <w:br/>
        <w:t>гр. ПЕРУЩИЦА ЗА ПЕРИОДА 01.01.2018 г. до 31.12.2018 г.</w:t>
      </w:r>
    </w:p>
    <w:p w:rsidR="00AE71D0" w:rsidRDefault="00FD7B0B">
      <w:pPr>
        <w:pStyle w:val="20"/>
        <w:framePr w:w="8563" w:h="4146" w:hRule="exact" w:wrap="none" w:vAnchor="page" w:hAnchor="page" w:x="1896" w:y="3559"/>
        <w:shd w:val="clear" w:color="auto" w:fill="auto"/>
        <w:spacing w:before="0"/>
        <w:ind w:left="160" w:firstLine="540"/>
      </w:pPr>
      <w:r>
        <w:rPr>
          <w:rStyle w:val="21"/>
        </w:rPr>
        <w:t xml:space="preserve">На основание чл.19, ал.З от Устава на Читалището и във връзка с </w:t>
      </w:r>
      <w:r>
        <w:rPr>
          <w:rStyle w:val="21"/>
        </w:rPr>
        <w:t>провеждането на отчетно изборно събрание Проверителната комисия в състав: Председател - Николина Лозена и член: Кръстина Ставрева, изготви настоящият доклад на 04.02.2019 г., за извършената проверка на финансовата дейност, състоянието на материално-техниче</w:t>
      </w:r>
      <w:r>
        <w:rPr>
          <w:rStyle w:val="21"/>
        </w:rPr>
        <w:t>ската база, административно-</w:t>
      </w:r>
    </w:p>
    <w:p w:rsidR="00AE71D0" w:rsidRDefault="00FD7B0B">
      <w:pPr>
        <w:pStyle w:val="20"/>
        <w:framePr w:w="8563" w:h="4146" w:hRule="exact" w:wrap="none" w:vAnchor="page" w:hAnchor="page" w:x="1896" w:y="3559"/>
        <w:shd w:val="clear" w:color="auto" w:fill="auto"/>
        <w:spacing w:before="0" w:after="134" w:line="326" w:lineRule="exact"/>
        <w:ind w:left="160"/>
      </w:pPr>
      <w:r>
        <w:rPr>
          <w:rStyle w:val="21"/>
        </w:rPr>
        <w:t>деловодната отчетност на Читалището и дейността на настоятелство през 2018 отчетна година.</w:t>
      </w:r>
    </w:p>
    <w:p w:rsidR="00AE71D0" w:rsidRDefault="00FD7B0B">
      <w:pPr>
        <w:pStyle w:val="20"/>
        <w:framePr w:w="8563" w:h="4146" w:hRule="exact" w:wrap="none" w:vAnchor="page" w:hAnchor="page" w:x="1896" w:y="3559"/>
        <w:shd w:val="clear" w:color="auto" w:fill="auto"/>
        <w:spacing w:before="0" w:line="384" w:lineRule="exact"/>
        <w:ind w:left="160" w:firstLine="540"/>
      </w:pPr>
      <w:r>
        <w:rPr>
          <w:rStyle w:val="21"/>
        </w:rPr>
        <w:t>Проверката се извърши за периода от 01.01.2018 г. до 31.12.2018 г. от членовете на Проверителната комисия в присъствието на Юлияна Владо</w:t>
      </w:r>
      <w:r>
        <w:rPr>
          <w:rStyle w:val="21"/>
        </w:rPr>
        <w:t>ва - ВрИД секретар на НЧ „Просвета-1862“.</w:t>
      </w:r>
    </w:p>
    <w:p w:rsidR="00AE71D0" w:rsidRDefault="00FD7B0B">
      <w:pPr>
        <w:pStyle w:val="40"/>
        <w:framePr w:w="8563" w:h="4114" w:hRule="exact" w:wrap="none" w:vAnchor="page" w:hAnchor="page" w:x="1896" w:y="8622"/>
        <w:shd w:val="clear" w:color="auto" w:fill="auto"/>
        <w:spacing w:before="0" w:after="218" w:line="240" w:lineRule="exact"/>
        <w:ind w:left="160" w:right="86"/>
      </w:pPr>
      <w:r>
        <w:rPr>
          <w:rStyle w:val="41"/>
          <w:b/>
          <w:bCs/>
        </w:rPr>
        <w:t>ПРЕДМЕТ НА ПРОВЕРКАТА:</w:t>
      </w:r>
    </w:p>
    <w:p w:rsidR="00AE71D0" w:rsidRDefault="00FD7B0B">
      <w:pPr>
        <w:pStyle w:val="20"/>
        <w:framePr w:w="8563" w:h="4114" w:hRule="exact" w:wrap="none" w:vAnchor="page" w:hAnchor="page" w:x="1896" w:y="8622"/>
        <w:numPr>
          <w:ilvl w:val="0"/>
          <w:numId w:val="1"/>
        </w:numPr>
        <w:shd w:val="clear" w:color="auto" w:fill="auto"/>
        <w:tabs>
          <w:tab w:val="left" w:pos="1025"/>
        </w:tabs>
        <w:spacing w:before="0" w:after="39" w:line="240" w:lineRule="exact"/>
        <w:ind w:left="160" w:right="86" w:firstLine="540"/>
      </w:pPr>
      <w:r>
        <w:rPr>
          <w:rStyle w:val="21"/>
        </w:rPr>
        <w:t>Решения на настоятелството на Читалището и изпълнението им.</w:t>
      </w:r>
    </w:p>
    <w:p w:rsidR="00AE71D0" w:rsidRDefault="00FD7B0B">
      <w:pPr>
        <w:pStyle w:val="20"/>
        <w:framePr w:w="8563" w:h="4114" w:hRule="exact" w:wrap="none" w:vAnchor="page" w:hAnchor="page" w:x="1896" w:y="8622"/>
        <w:numPr>
          <w:ilvl w:val="0"/>
          <w:numId w:val="1"/>
        </w:numPr>
        <w:shd w:val="clear" w:color="auto" w:fill="auto"/>
        <w:tabs>
          <w:tab w:val="left" w:pos="1133"/>
        </w:tabs>
        <w:spacing w:before="0" w:after="146" w:line="326" w:lineRule="exact"/>
        <w:ind w:left="160" w:right="86" w:firstLine="540"/>
      </w:pPr>
      <w:r>
        <w:rPr>
          <w:rStyle w:val="21"/>
        </w:rPr>
        <w:t>Проверка на деловодна система и воденето на входящия и изходящия</w:t>
      </w:r>
      <w:r>
        <w:rPr>
          <w:rStyle w:val="21"/>
        </w:rPr>
        <w:br/>
        <w:t>дневник на кореспонденцията.</w:t>
      </w:r>
    </w:p>
    <w:p w:rsidR="00AE71D0" w:rsidRDefault="00FD7B0B">
      <w:pPr>
        <w:pStyle w:val="20"/>
        <w:framePr w:w="8563" w:h="4114" w:hRule="exact" w:wrap="none" w:vAnchor="page" w:hAnchor="page" w:x="1896" w:y="8622"/>
        <w:numPr>
          <w:ilvl w:val="0"/>
          <w:numId w:val="1"/>
        </w:numPr>
        <w:shd w:val="clear" w:color="auto" w:fill="auto"/>
        <w:tabs>
          <w:tab w:val="left" w:pos="1123"/>
        </w:tabs>
        <w:spacing w:before="0" w:after="83" w:line="370" w:lineRule="exact"/>
        <w:ind w:left="160" w:right="86" w:firstLine="540"/>
      </w:pPr>
      <w:r>
        <w:rPr>
          <w:rStyle w:val="21"/>
        </w:rPr>
        <w:t xml:space="preserve">Проверка на сключените и действащи </w:t>
      </w:r>
      <w:r>
        <w:rPr>
          <w:rStyle w:val="21"/>
        </w:rPr>
        <w:t>към момента договори,</w:t>
      </w:r>
      <w:r>
        <w:rPr>
          <w:rStyle w:val="21"/>
        </w:rPr>
        <w:br/>
        <w:t>изпълнението им и начина на водене на договорния регистър.</w:t>
      </w:r>
    </w:p>
    <w:p w:rsidR="00AE71D0" w:rsidRDefault="00FD7B0B">
      <w:pPr>
        <w:pStyle w:val="20"/>
        <w:framePr w:w="8563" w:h="4114" w:hRule="exact" w:wrap="none" w:vAnchor="page" w:hAnchor="page" w:x="1896" w:y="862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64" w:line="341" w:lineRule="exact"/>
        <w:ind w:firstLine="700"/>
        <w:jc w:val="left"/>
      </w:pPr>
      <w:r>
        <w:rPr>
          <w:rStyle w:val="21"/>
        </w:rPr>
        <w:t>Проверка на касовата дейност и воденето на касовата книга - по</w:t>
      </w:r>
      <w:r>
        <w:rPr>
          <w:rStyle w:val="21"/>
        </w:rPr>
        <w:br/>
        <w:t>Приложение №1 от настоящият доклад</w:t>
      </w:r>
    </w:p>
    <w:p w:rsidR="00AE71D0" w:rsidRDefault="00FD7B0B">
      <w:pPr>
        <w:pStyle w:val="20"/>
        <w:framePr w:w="8563" w:h="4114" w:hRule="exact" w:wrap="none" w:vAnchor="page" w:hAnchor="page" w:x="1896" w:y="8622"/>
        <w:numPr>
          <w:ilvl w:val="0"/>
          <w:numId w:val="1"/>
        </w:numPr>
        <w:shd w:val="clear" w:color="auto" w:fill="auto"/>
        <w:tabs>
          <w:tab w:val="left" w:pos="1023"/>
        </w:tabs>
        <w:spacing w:before="0" w:line="336" w:lineRule="exact"/>
        <w:ind w:firstLine="700"/>
        <w:jc w:val="left"/>
      </w:pPr>
      <w:r>
        <w:rPr>
          <w:rStyle w:val="21"/>
        </w:rPr>
        <w:t>Проверка на счетоводната отчетност и</w:t>
      </w:r>
    </w:p>
    <w:p w:rsidR="00AE71D0" w:rsidRDefault="00FD7B0B">
      <w:pPr>
        <w:pStyle w:val="20"/>
        <w:framePr w:w="8563" w:h="4114" w:hRule="exact" w:wrap="none" w:vAnchor="page" w:hAnchor="page" w:x="1896" w:y="8622"/>
        <w:shd w:val="clear" w:color="auto" w:fill="auto"/>
        <w:tabs>
          <w:tab w:val="left" w:pos="1023"/>
        </w:tabs>
        <w:spacing w:before="0" w:line="336" w:lineRule="exact"/>
        <w:jc w:val="left"/>
      </w:pPr>
      <w:r>
        <w:rPr>
          <w:rStyle w:val="21"/>
        </w:rPr>
        <w:t>Читалището.</w:t>
      </w:r>
    </w:p>
    <w:p w:rsidR="00AE71D0" w:rsidRDefault="00FD7B0B">
      <w:pPr>
        <w:pStyle w:val="20"/>
        <w:framePr w:wrap="none" w:vAnchor="page" w:hAnchor="page" w:x="7214" w:y="12174"/>
        <w:shd w:val="clear" w:color="auto" w:fill="auto"/>
        <w:spacing w:before="0" w:line="240" w:lineRule="exact"/>
        <w:jc w:val="left"/>
      </w:pPr>
      <w:r>
        <w:rPr>
          <w:rStyle w:val="21"/>
        </w:rPr>
        <w:t>разходване на бюджета на</w:t>
      </w:r>
    </w:p>
    <w:p w:rsidR="00AE71D0" w:rsidRDefault="00FD7B0B">
      <w:pPr>
        <w:pStyle w:val="20"/>
        <w:framePr w:w="8016" w:h="794" w:hRule="exact" w:wrap="none" w:vAnchor="page" w:hAnchor="page" w:x="1896" w:y="12788"/>
        <w:shd w:val="clear" w:color="auto" w:fill="auto"/>
        <w:tabs>
          <w:tab w:val="left" w:leader="hyphen" w:pos="3394"/>
          <w:tab w:val="left" w:leader="hyphen" w:pos="3619"/>
          <w:tab w:val="left" w:leader="hyphen" w:pos="5261"/>
        </w:tabs>
        <w:spacing w:before="0" w:line="322" w:lineRule="exact"/>
        <w:ind w:firstLine="600"/>
        <w:jc w:val="left"/>
      </w:pPr>
      <w:r>
        <w:rPr>
          <w:rStyle w:val="21"/>
        </w:rPr>
        <w:t xml:space="preserve">6. </w:t>
      </w:r>
      <w:r>
        <w:rPr>
          <w:rStyle w:val="21"/>
        </w:rPr>
        <w:t>Проверка на дейността на читалищната библиотека, съхранението</w:t>
      </w:r>
    </w:p>
    <w:p w:rsidR="00AE71D0" w:rsidRDefault="00FD7B0B">
      <w:pPr>
        <w:pStyle w:val="20"/>
        <w:framePr w:w="8016" w:h="794" w:hRule="exact" w:wrap="none" w:vAnchor="page" w:hAnchor="page" w:x="1896" w:y="12788"/>
        <w:shd w:val="clear" w:color="auto" w:fill="auto"/>
        <w:tabs>
          <w:tab w:val="left" w:leader="hyphen" w:pos="3394"/>
          <w:tab w:val="left" w:leader="hyphen" w:pos="3619"/>
          <w:tab w:val="left" w:leader="hyphen" w:pos="5261"/>
        </w:tabs>
        <w:spacing w:before="0" w:line="322" w:lineRule="exact"/>
        <w:jc w:val="left"/>
      </w:pPr>
      <w:r>
        <w:rPr>
          <w:rStyle w:val="21"/>
        </w:rPr>
        <w:t xml:space="preserve">библиотечния фонд и воденето </w:t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1"/>
        </w:rPr>
        <w:tab/>
      </w:r>
    </w:p>
    <w:p w:rsidR="00AE71D0" w:rsidRDefault="00FD7B0B">
      <w:pPr>
        <w:pStyle w:val="20"/>
        <w:framePr w:wrap="none" w:vAnchor="page" w:hAnchor="page" w:x="9950" w:y="13062"/>
        <w:shd w:val="clear" w:color="auto" w:fill="auto"/>
        <w:spacing w:before="0" w:line="240" w:lineRule="exact"/>
        <w:jc w:val="left"/>
      </w:pPr>
      <w:r>
        <w:rPr>
          <w:rStyle w:val="21"/>
        </w:rPr>
        <w:t>на</w:t>
      </w:r>
    </w:p>
    <w:p w:rsidR="00AE71D0" w:rsidRDefault="00FD7B0B">
      <w:pPr>
        <w:pStyle w:val="20"/>
        <w:framePr w:wrap="none" w:vAnchor="page" w:hAnchor="page" w:x="5150" w:y="13374"/>
        <w:shd w:val="clear" w:color="auto" w:fill="auto"/>
        <w:spacing w:before="0" w:line="240" w:lineRule="exact"/>
        <w:jc w:val="left"/>
      </w:pPr>
      <w:r>
        <w:rPr>
          <w:rStyle w:val="21"/>
        </w:rPr>
        <w:t>на изискваната докумеш</w:t>
      </w:r>
    </w:p>
    <w:p w:rsidR="00AE71D0" w:rsidRDefault="00FD7B0B">
      <w:pPr>
        <w:pStyle w:val="20"/>
        <w:framePr w:wrap="none" w:vAnchor="page" w:hAnchor="page" w:x="2462" w:y="13681"/>
        <w:shd w:val="clear" w:color="auto" w:fill="auto"/>
        <w:spacing w:before="0" w:line="240" w:lineRule="exact"/>
        <w:jc w:val="left"/>
      </w:pPr>
      <w:r>
        <w:rPr>
          <w:rStyle w:val="21"/>
        </w:rPr>
        <w:t>7. Проверка на воденето на дълготрайните матери;</w:t>
      </w:r>
    </w:p>
    <w:p w:rsidR="00AE71D0" w:rsidRDefault="0034491C">
      <w:pPr>
        <w:rPr>
          <w:sz w:val="2"/>
          <w:szCs w:val="2"/>
        </w:rPr>
        <w:sectPr w:rsidR="00AE71D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4732655</wp:posOffset>
            </wp:positionH>
            <wp:positionV relativeFrom="page">
              <wp:posOffset>8564880</wp:posOffset>
            </wp:positionV>
            <wp:extent cx="1737360" cy="932815"/>
            <wp:effectExtent l="0" t="0" r="0" b="635"/>
            <wp:wrapNone/>
            <wp:docPr id="4" name="Picture 2" descr="C:\Users\User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1D0" w:rsidRDefault="00FD7B0B">
      <w:pPr>
        <w:pStyle w:val="20"/>
        <w:framePr w:w="8606" w:h="10321" w:hRule="exact" w:wrap="none" w:vAnchor="page" w:hAnchor="page" w:x="1874" w:y="1225"/>
        <w:shd w:val="clear" w:color="auto" w:fill="auto"/>
        <w:spacing w:before="0" w:line="240" w:lineRule="exact"/>
        <w:ind w:left="240"/>
        <w:jc w:val="left"/>
      </w:pPr>
      <w:r>
        <w:rPr>
          <w:rStyle w:val="21"/>
        </w:rPr>
        <w:lastRenderedPageBreak/>
        <w:t>на съхраняването им.</w:t>
      </w:r>
    </w:p>
    <w:p w:rsidR="00AE71D0" w:rsidRDefault="00FD7B0B">
      <w:pPr>
        <w:pStyle w:val="20"/>
        <w:framePr w:w="8606" w:h="10321" w:hRule="exact" w:wrap="none" w:vAnchor="page" w:hAnchor="page" w:x="1874" w:y="1225"/>
        <w:shd w:val="clear" w:color="auto" w:fill="auto"/>
        <w:spacing w:before="0" w:line="835" w:lineRule="exact"/>
        <w:ind w:firstLine="860"/>
        <w:jc w:val="left"/>
      </w:pPr>
      <w:r>
        <w:rPr>
          <w:rStyle w:val="21"/>
        </w:rPr>
        <w:t xml:space="preserve">8. Кадрово обезпечаване на дейността на </w:t>
      </w:r>
      <w:r>
        <w:rPr>
          <w:rStyle w:val="21"/>
        </w:rPr>
        <w:t>читалището и управление на човешките ресурси.</w:t>
      </w:r>
    </w:p>
    <w:p w:rsidR="00AE71D0" w:rsidRDefault="00FD7B0B">
      <w:pPr>
        <w:pStyle w:val="50"/>
        <w:framePr w:w="8606" w:h="10321" w:hRule="exact" w:wrap="none" w:vAnchor="page" w:hAnchor="page" w:x="1874" w:y="1225"/>
        <w:shd w:val="clear" w:color="auto" w:fill="auto"/>
        <w:ind w:left="240" w:firstLine="620"/>
      </w:pPr>
      <w:r>
        <w:rPr>
          <w:rStyle w:val="51"/>
          <w:b/>
          <w:bCs/>
        </w:rPr>
        <w:t>По т.1 Решения на настоятелството на Читалището и техните изпълнения.</w:t>
      </w:r>
    </w:p>
    <w:p w:rsidR="00AE71D0" w:rsidRDefault="00FD7B0B">
      <w:pPr>
        <w:pStyle w:val="20"/>
        <w:framePr w:w="8606" w:h="10321" w:hRule="exact" w:wrap="none" w:vAnchor="page" w:hAnchor="page" w:x="1874" w:y="1225"/>
        <w:shd w:val="clear" w:color="auto" w:fill="auto"/>
        <w:spacing w:before="0" w:after="68" w:line="408" w:lineRule="exact"/>
        <w:ind w:left="240" w:firstLine="620"/>
      </w:pPr>
      <w:r>
        <w:rPr>
          <w:rStyle w:val="21"/>
        </w:rPr>
        <w:t>През отчетния период Настоятелството е провеждало редовно заседания, чиито решения са материализирани в протоколи. Същото е ръководило цялос</w:t>
      </w:r>
      <w:r>
        <w:rPr>
          <w:rStyle w:val="21"/>
        </w:rPr>
        <w:t>тния организационен живот на читалището .</w:t>
      </w:r>
    </w:p>
    <w:p w:rsidR="00AE71D0" w:rsidRDefault="00FD7B0B">
      <w:pPr>
        <w:pStyle w:val="20"/>
        <w:framePr w:w="8606" w:h="10321" w:hRule="exact" w:wrap="none" w:vAnchor="page" w:hAnchor="page" w:x="1874" w:y="1225"/>
        <w:shd w:val="clear" w:color="auto" w:fill="auto"/>
        <w:spacing w:before="0" w:after="52" w:line="398" w:lineRule="exact"/>
        <w:ind w:left="240" w:firstLine="620"/>
      </w:pPr>
      <w:r>
        <w:rPr>
          <w:rStyle w:val="21"/>
        </w:rPr>
        <w:t>В Проверителната комисия не са постъпвали предложения от членовете на читалището, по която да вземат отношение.</w:t>
      </w:r>
    </w:p>
    <w:p w:rsidR="00AE71D0" w:rsidRDefault="00FD7B0B">
      <w:pPr>
        <w:pStyle w:val="50"/>
        <w:framePr w:w="8606" w:h="10321" w:hRule="exact" w:wrap="none" w:vAnchor="page" w:hAnchor="page" w:x="1874" w:y="1225"/>
        <w:shd w:val="clear" w:color="auto" w:fill="auto"/>
        <w:ind w:left="240" w:firstLine="620"/>
      </w:pPr>
      <w:r>
        <w:rPr>
          <w:rStyle w:val="51"/>
          <w:b/>
          <w:bCs/>
        </w:rPr>
        <w:t>По т.2 Проверка на деловодна система и воденето на входящия и изходящия дневник на кореспонденцията</w:t>
      </w:r>
    </w:p>
    <w:p w:rsidR="00AE71D0" w:rsidRDefault="00FD7B0B">
      <w:pPr>
        <w:pStyle w:val="20"/>
        <w:framePr w:w="8606" w:h="10321" w:hRule="exact" w:wrap="none" w:vAnchor="page" w:hAnchor="page" w:x="1874" w:y="1225"/>
        <w:shd w:val="clear" w:color="auto" w:fill="auto"/>
        <w:spacing w:before="0" w:after="64" w:line="408" w:lineRule="exact"/>
        <w:ind w:left="240" w:firstLine="620"/>
      </w:pPr>
      <w:r>
        <w:rPr>
          <w:rStyle w:val="21"/>
        </w:rPr>
        <w:t>През 2018 година входящия и изходящия дневник се водят последователно като всеки един постъпил и изведен документ е регистриран в последователен ред. Създава се яснота по отношение на комуникацията на Читалището с останалите институции и партньори.</w:t>
      </w:r>
    </w:p>
    <w:p w:rsidR="00AE71D0" w:rsidRDefault="00FD7B0B">
      <w:pPr>
        <w:pStyle w:val="50"/>
        <w:framePr w:w="8606" w:h="10321" w:hRule="exact" w:wrap="none" w:vAnchor="page" w:hAnchor="page" w:x="1874" w:y="1225"/>
        <w:shd w:val="clear" w:color="auto" w:fill="auto"/>
        <w:spacing w:after="64" w:line="403" w:lineRule="exact"/>
        <w:ind w:left="240" w:firstLine="620"/>
      </w:pPr>
      <w:r>
        <w:rPr>
          <w:rStyle w:val="52"/>
          <w:b/>
          <w:bCs/>
        </w:rPr>
        <w:t xml:space="preserve">По т.З </w:t>
      </w:r>
      <w:r>
        <w:rPr>
          <w:rStyle w:val="52"/>
          <w:b/>
          <w:bCs/>
        </w:rPr>
        <w:t>Проверка на ск</w:t>
      </w:r>
      <w:r>
        <w:rPr>
          <w:rStyle w:val="51"/>
          <w:b/>
          <w:bCs/>
        </w:rPr>
        <w:t xml:space="preserve">лючените и действащи към момента </w:t>
      </w:r>
      <w:r>
        <w:rPr>
          <w:rStyle w:val="5105pt"/>
        </w:rPr>
        <w:t xml:space="preserve">договори. </w:t>
      </w:r>
      <w:r>
        <w:rPr>
          <w:rStyle w:val="52"/>
          <w:b/>
          <w:bCs/>
        </w:rPr>
        <w:t>изпълнениет</w:t>
      </w:r>
      <w:r>
        <w:rPr>
          <w:rStyle w:val="51"/>
          <w:b/>
          <w:bCs/>
        </w:rPr>
        <w:t>о им и начина на водене на договорния регистър</w:t>
      </w:r>
    </w:p>
    <w:p w:rsidR="00AE71D0" w:rsidRDefault="00FD7B0B">
      <w:pPr>
        <w:pStyle w:val="20"/>
        <w:framePr w:w="8606" w:h="10321" w:hRule="exact" w:wrap="none" w:vAnchor="page" w:hAnchor="page" w:x="1874" w:y="1225"/>
        <w:shd w:val="clear" w:color="auto" w:fill="auto"/>
        <w:spacing w:before="0" w:after="52" w:line="398" w:lineRule="exact"/>
        <w:ind w:left="240" w:firstLine="620"/>
      </w:pPr>
      <w:r>
        <w:rPr>
          <w:rStyle w:val="21"/>
        </w:rPr>
        <w:t>Гражданските договори са отразени в договорния регистър на читалището. Същите се изпълняват съгласно договорените в тях клаузи.Договорният ре</w:t>
      </w:r>
      <w:r>
        <w:rPr>
          <w:rStyle w:val="21"/>
        </w:rPr>
        <w:t>гистър се води надлежно.</w:t>
      </w:r>
    </w:p>
    <w:p w:rsidR="00AE71D0" w:rsidRDefault="00FD7B0B">
      <w:pPr>
        <w:pStyle w:val="50"/>
        <w:framePr w:w="8606" w:h="10321" w:hRule="exact" w:wrap="none" w:vAnchor="page" w:hAnchor="page" w:x="1874" w:y="1225"/>
        <w:shd w:val="clear" w:color="auto" w:fill="auto"/>
        <w:ind w:left="240" w:firstLine="620"/>
      </w:pPr>
      <w:r>
        <w:rPr>
          <w:rStyle w:val="52"/>
          <w:b/>
          <w:bCs/>
        </w:rPr>
        <w:t>П&lt;? т.4. Проверка на сч</w:t>
      </w:r>
      <w:r>
        <w:rPr>
          <w:rStyle w:val="51"/>
          <w:b/>
          <w:bCs/>
        </w:rPr>
        <w:t xml:space="preserve">етоводната отчетност и разходване на </w:t>
      </w:r>
      <w:r>
        <w:rPr>
          <w:rStyle w:val="510pt"/>
          <w:b/>
          <w:bCs/>
        </w:rPr>
        <w:t xml:space="preserve">бюлжетя </w:t>
      </w:r>
      <w:r>
        <w:rPr>
          <w:rStyle w:val="53"/>
          <w:b/>
          <w:bCs/>
        </w:rPr>
        <w:t xml:space="preserve">на Читалището е описано в </w:t>
      </w:r>
      <w:r>
        <w:rPr>
          <w:rStyle w:val="54"/>
          <w:b/>
          <w:bCs/>
        </w:rPr>
        <w:t>П</w:t>
      </w:r>
      <w:r>
        <w:rPr>
          <w:rStyle w:val="51"/>
          <w:b/>
          <w:bCs/>
        </w:rPr>
        <w:t>риложение № 1 към настоящия доклал</w:t>
      </w:r>
    </w:p>
    <w:p w:rsidR="00AE71D0" w:rsidRDefault="00FD7B0B">
      <w:pPr>
        <w:pStyle w:val="a0"/>
        <w:framePr w:w="8606" w:h="854" w:hRule="exact" w:wrap="none" w:vAnchor="page" w:hAnchor="page" w:x="1874" w:y="11661"/>
        <w:shd w:val="clear" w:color="auto" w:fill="auto"/>
        <w:ind w:left="160"/>
      </w:pPr>
      <w:r>
        <w:rPr>
          <w:rStyle w:val="a1"/>
        </w:rPr>
        <w:t xml:space="preserve">От предоставена информация от счетоводителят на читалището г-жа Атанаска Кипрова, финансовите </w:t>
      </w:r>
      <w:r>
        <w:rPr>
          <w:rStyle w:val="a1"/>
        </w:rPr>
        <w:t>резултати на същото за 2018 г. е както следва:</w:t>
      </w:r>
    </w:p>
    <w:p w:rsidR="00AE71D0" w:rsidRDefault="0034491C">
      <w:pPr>
        <w:framePr w:wrap="none" w:vAnchor="page" w:hAnchor="page" w:x="2215" w:y="1250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848225" cy="1219200"/>
            <wp:effectExtent l="0" t="0" r="9525" b="0"/>
            <wp:docPr id="1" name="Picture 1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1D0" w:rsidRDefault="00FD7B0B">
      <w:pPr>
        <w:pStyle w:val="a3"/>
        <w:framePr w:wrap="none" w:vAnchor="page" w:hAnchor="page" w:x="6060" w:y="14473"/>
        <w:shd w:val="clear" w:color="auto" w:fill="auto"/>
        <w:spacing w:line="210" w:lineRule="exact"/>
      </w:pPr>
      <w:r>
        <w:rPr>
          <w:rStyle w:val="a4"/>
          <w:b/>
          <w:bCs/>
        </w:rPr>
        <w:t>2</w:t>
      </w:r>
    </w:p>
    <w:p w:rsidR="00AE71D0" w:rsidRDefault="00AE71D0">
      <w:pPr>
        <w:rPr>
          <w:sz w:val="2"/>
          <w:szCs w:val="2"/>
        </w:rPr>
        <w:sectPr w:rsidR="00AE71D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E71D0" w:rsidRDefault="00FD7B0B">
      <w:pPr>
        <w:pStyle w:val="23"/>
        <w:framePr w:wrap="none" w:vAnchor="page" w:hAnchor="page" w:x="8688" w:y="1187"/>
        <w:shd w:val="clear" w:color="auto" w:fill="auto"/>
        <w:spacing w:line="240" w:lineRule="exact"/>
      </w:pPr>
      <w:r>
        <w:rPr>
          <w:rStyle w:val="24"/>
          <w:i/>
          <w:iCs/>
        </w:rPr>
        <w:lastRenderedPageBreak/>
        <w:t>Приложение № 1</w:t>
      </w:r>
    </w:p>
    <w:p w:rsidR="00AE71D0" w:rsidRDefault="00FD7B0B">
      <w:pPr>
        <w:pStyle w:val="a6"/>
        <w:framePr w:wrap="none" w:vAnchor="page" w:hAnchor="page" w:x="4641" w:y="1657"/>
        <w:shd w:val="clear" w:color="auto" w:fill="auto"/>
        <w:spacing w:line="240" w:lineRule="exact"/>
      </w:pPr>
      <w:r>
        <w:rPr>
          <w:rStyle w:val="a7"/>
          <w:b/>
          <w:bCs/>
        </w:rPr>
        <w:t>Финансови резултати за 2018 год.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22"/>
        <w:gridCol w:w="1224"/>
      </w:tblGrid>
      <w:tr w:rsidR="00AE71D0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| Приходи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1D0" w:rsidRDefault="00AE71D0">
            <w:pPr>
              <w:framePr w:w="8246" w:h="6970" w:wrap="none" w:vAnchor="page" w:hAnchor="page" w:x="2285" w:y="1892"/>
              <w:rPr>
                <w:sz w:val="10"/>
                <w:szCs w:val="10"/>
              </w:rPr>
            </w:pP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 xml:space="preserve">- </w:t>
            </w:r>
            <w:r>
              <w:rPr>
                <w:rStyle w:val="25"/>
              </w:rPr>
              <w:t>Собствени приходи: 1.Членски внос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854.00 лв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ind w:left="2200"/>
              <w:jc w:val="left"/>
            </w:pPr>
            <w:r>
              <w:rPr>
                <w:rStyle w:val="25"/>
              </w:rPr>
              <w:t xml:space="preserve">2.Такси - </w:t>
            </w:r>
            <w:r>
              <w:rPr>
                <w:rStyle w:val="2CenturyGothic"/>
              </w:rPr>
              <w:t>М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972.00 лв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ind w:left="2200"/>
              <w:jc w:val="left"/>
            </w:pPr>
            <w:r>
              <w:rPr>
                <w:rStyle w:val="25"/>
              </w:rPr>
              <w:t>3.Стопанска дейност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1820.00 лв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ind w:right="320"/>
              <w:jc w:val="right"/>
            </w:pPr>
            <w:r>
              <w:rPr>
                <w:rStyle w:val="26"/>
              </w:rPr>
              <w:t>Общо собствени приходи за 2018 год.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6"/>
              </w:rPr>
              <w:t>3646.00 лв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Налич. в лв.по с/ки в края на периода/- /ОД на 1.01.2018. год.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8615.12 лв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192" w:lineRule="exact"/>
              <w:jc w:val="left"/>
            </w:pPr>
            <w:r>
              <w:rPr>
                <w:rStyle w:val="26"/>
              </w:rPr>
              <w:t xml:space="preserve">ВСИЧКО ПРИХОДИ държана </w:t>
            </w:r>
            <w:r>
              <w:rPr>
                <w:rStyle w:val="26"/>
              </w:rPr>
              <w:t>субсидия/50250/ общинска субсидия /3332 лв./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after="60" w:line="240" w:lineRule="exact"/>
              <w:jc w:val="right"/>
            </w:pPr>
            <w:r>
              <w:rPr>
                <w:rStyle w:val="26"/>
              </w:rPr>
              <w:t>53582.00</w:t>
            </w:r>
          </w:p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60" w:line="240" w:lineRule="exact"/>
              <w:jc w:val="right"/>
            </w:pPr>
            <w:r>
              <w:rPr>
                <w:rStyle w:val="26"/>
              </w:rPr>
              <w:t>лв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6"/>
              </w:rPr>
              <w:t>ВСИЧКО ПРИХОДИ дарения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6"/>
              </w:rPr>
              <w:t>640.00 лв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300" w:lineRule="exact"/>
              <w:jc w:val="left"/>
            </w:pPr>
            <w:r>
              <w:rPr>
                <w:rStyle w:val="215pt"/>
              </w:rPr>
              <w:t xml:space="preserve">всички </w:t>
            </w:r>
            <w:r>
              <w:rPr>
                <w:rStyle w:val="26"/>
              </w:rPr>
              <w:t>ПРИХОДИ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1D0" w:rsidRDefault="00AE71D0">
            <w:pPr>
              <w:framePr w:w="8246" w:h="6970" w:wrap="none" w:vAnchor="page" w:hAnchor="page" w:x="2285" w:y="1892"/>
              <w:rPr>
                <w:sz w:val="10"/>
                <w:szCs w:val="10"/>
              </w:rPr>
            </w:pP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center"/>
            </w:pPr>
            <w:r>
              <w:rPr>
                <w:rStyle w:val="26"/>
              </w:rPr>
              <w:t>Наличност в края на периода 31.12.2018 г.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3915.39-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center"/>
            </w:pPr>
            <w:r>
              <w:rPr>
                <w:rStyle w:val="26"/>
              </w:rPr>
              <w:t>ОТЧЕТ КЪМ 31.12.2018 ГОД.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1D0" w:rsidRDefault="00AE71D0">
            <w:pPr>
              <w:framePr w:w="8246" w:h="6970" w:wrap="none" w:vAnchor="page" w:hAnchor="page" w:x="2285" w:y="1892"/>
              <w:rPr>
                <w:sz w:val="10"/>
                <w:szCs w:val="10"/>
              </w:rPr>
            </w:pP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center"/>
            </w:pPr>
            <w:r>
              <w:rPr>
                <w:rStyle w:val="26"/>
              </w:rPr>
              <w:t>разходи държавни дейности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center"/>
            </w:pPr>
            <w:r>
              <w:rPr>
                <w:rStyle w:val="25"/>
              </w:rPr>
              <w:t>отчет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 xml:space="preserve">Заплати и възн.на персон. по </w:t>
            </w:r>
            <w:r>
              <w:rPr>
                <w:rStyle w:val="25"/>
              </w:rPr>
              <w:t>труд.правоотнашения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29318.86лв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Други възнагр. и плащания за персоната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1800.74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Задължителни осигурит. вноски от работодател.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5692.65 лв.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1D0" w:rsidRDefault="00AE71D0">
            <w:pPr>
              <w:framePr w:w="8246" w:h="6970" w:wrap="none" w:vAnchor="page" w:hAnchor="page" w:x="2285" w:y="1892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1D0" w:rsidRDefault="00AE71D0">
            <w:pPr>
              <w:framePr w:w="8246" w:h="6970" w:wrap="none" w:vAnchor="page" w:hAnchor="page" w:x="2285" w:y="1892"/>
              <w:rPr>
                <w:sz w:val="10"/>
                <w:szCs w:val="10"/>
              </w:rPr>
            </w:pP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Данък общ доход ДОО - работодател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1435.47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Здравно-осигурителни вноски работодател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1448.07лв.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Вноски за ДЗПО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5"/>
              </w:rPr>
              <w:t>809.11 лв.</w:t>
            </w:r>
          </w:p>
        </w:tc>
      </w:tr>
      <w:tr w:rsidR="00AE71D0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left"/>
            </w:pPr>
            <w:r>
              <w:rPr>
                <w:rStyle w:val="25"/>
              </w:rPr>
              <w:t>ФРЗ-общо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71D0" w:rsidRDefault="00FD7B0B">
            <w:pPr>
              <w:pStyle w:val="20"/>
              <w:framePr w:w="8246" w:h="6970" w:wrap="none" w:vAnchor="page" w:hAnchor="page" w:x="2285" w:y="1892"/>
              <w:shd w:val="clear" w:color="auto" w:fill="auto"/>
              <w:spacing w:before="0" w:line="240" w:lineRule="exact"/>
              <w:jc w:val="right"/>
            </w:pPr>
            <w:r>
              <w:rPr>
                <w:rStyle w:val="26"/>
              </w:rPr>
              <w:t>36812.25</w:t>
            </w:r>
          </w:p>
        </w:tc>
      </w:tr>
    </w:tbl>
    <w:p w:rsidR="00AE71D0" w:rsidRDefault="00FD7B0B">
      <w:pPr>
        <w:pStyle w:val="50"/>
        <w:framePr w:w="8376" w:h="2823" w:hRule="exact" w:wrap="none" w:vAnchor="page" w:hAnchor="page" w:x="2179" w:y="9375"/>
        <w:shd w:val="clear" w:color="auto" w:fill="auto"/>
        <w:tabs>
          <w:tab w:val="left" w:leader="underscore" w:pos="3042"/>
        </w:tabs>
        <w:spacing w:after="29" w:line="240" w:lineRule="exact"/>
        <w:ind w:left="960"/>
      </w:pPr>
      <w:r>
        <w:rPr>
          <w:rStyle w:val="52"/>
          <w:b/>
          <w:bCs/>
        </w:rPr>
        <w:t>—</w:t>
      </w:r>
      <w:r>
        <w:rPr>
          <w:rStyle w:val="55"/>
        </w:rPr>
        <w:t>IJL</w:t>
      </w:r>
      <w:r>
        <w:rPr>
          <w:rStyle w:val="52"/>
          <w:b/>
          <w:bCs/>
        </w:rPr>
        <w:t>—Проверка</w:t>
      </w:r>
      <w:r>
        <w:rPr>
          <w:rStyle w:val="52"/>
          <w:b/>
          <w:bCs/>
        </w:rPr>
        <w:tab/>
      </w:r>
      <w:r>
        <w:rPr>
          <w:rStyle w:val="51"/>
          <w:b/>
          <w:bCs/>
        </w:rPr>
        <w:t>на дейността на читалищната библиотека,</w:t>
      </w:r>
    </w:p>
    <w:p w:rsidR="00AE71D0" w:rsidRDefault="00FD7B0B">
      <w:pPr>
        <w:pStyle w:val="50"/>
        <w:framePr w:w="8376" w:h="2823" w:hRule="exact" w:wrap="none" w:vAnchor="page" w:hAnchor="page" w:x="2179" w:y="9375"/>
        <w:shd w:val="clear" w:color="auto" w:fill="auto"/>
        <w:spacing w:after="29" w:line="226" w:lineRule="exact"/>
      </w:pPr>
      <w:r>
        <w:rPr>
          <w:rStyle w:val="52"/>
          <w:b/>
          <w:bCs/>
        </w:rPr>
        <w:t>с</w:t>
      </w:r>
      <w:r>
        <w:rPr>
          <w:rStyle w:val="53"/>
          <w:b/>
          <w:bCs/>
        </w:rPr>
        <w:t>ъхранението</w:t>
      </w:r>
      <w:r>
        <w:rPr>
          <w:rStyle w:val="52"/>
          <w:b/>
          <w:bCs/>
        </w:rPr>
        <w:t>—на—библиот</w:t>
      </w:r>
      <w:r>
        <w:rPr>
          <w:rStyle w:val="51"/>
          <w:b/>
          <w:bCs/>
        </w:rPr>
        <w:t>ечния фонд и воденето на изискваната документация.</w:t>
      </w:r>
    </w:p>
    <w:p w:rsidR="00AE71D0" w:rsidRDefault="00FD7B0B">
      <w:pPr>
        <w:pStyle w:val="20"/>
        <w:framePr w:w="8376" w:h="2823" w:hRule="exact" w:wrap="none" w:vAnchor="page" w:hAnchor="page" w:x="2179" w:y="9375"/>
        <w:shd w:val="clear" w:color="auto" w:fill="auto"/>
        <w:spacing w:before="0" w:after="319" w:line="264" w:lineRule="exact"/>
        <w:ind w:firstLine="620"/>
      </w:pPr>
      <w:r>
        <w:rPr>
          <w:rStyle w:val="21"/>
        </w:rPr>
        <w:t xml:space="preserve">Библиотечните картони се водят хронологично, съгласно законовите изисквания . Извършена е </w:t>
      </w:r>
      <w:r>
        <w:rPr>
          <w:rStyle w:val="21"/>
        </w:rPr>
        <w:t>инвентаризация на библиотечния фонд.</w:t>
      </w:r>
    </w:p>
    <w:p w:rsidR="00AE71D0" w:rsidRDefault="00FD7B0B">
      <w:pPr>
        <w:pStyle w:val="50"/>
        <w:framePr w:w="8376" w:h="2823" w:hRule="exact" w:wrap="none" w:vAnchor="page" w:hAnchor="page" w:x="2179" w:y="9375"/>
        <w:shd w:val="clear" w:color="auto" w:fill="auto"/>
        <w:tabs>
          <w:tab w:val="left" w:leader="hyphen" w:pos="1174"/>
        </w:tabs>
        <w:spacing w:line="240" w:lineRule="exact"/>
        <w:ind w:firstLine="620"/>
      </w:pPr>
      <w:r>
        <w:rPr>
          <w:rStyle w:val="55"/>
          <w:lang w:val="bg-BG" w:eastAsia="bg-BG" w:bidi="bg-BG"/>
        </w:rPr>
        <w:t>—</w:t>
      </w:r>
      <w:r>
        <w:rPr>
          <w:rStyle w:val="52"/>
          <w:b/>
          <w:bCs/>
        </w:rPr>
        <w:tab/>
        <w:t>Проверка на воден</w:t>
      </w:r>
      <w:r>
        <w:rPr>
          <w:rStyle w:val="51"/>
          <w:b/>
          <w:bCs/>
        </w:rPr>
        <w:t>ето на дълготрайните материални активи и</w:t>
      </w:r>
    </w:p>
    <w:p w:rsidR="00AE71D0" w:rsidRDefault="00FD7B0B">
      <w:pPr>
        <w:pStyle w:val="50"/>
        <w:framePr w:w="8376" w:h="2823" w:hRule="exact" w:wrap="none" w:vAnchor="page" w:hAnchor="page" w:x="2179" w:y="9375"/>
        <w:shd w:val="clear" w:color="auto" w:fill="auto"/>
        <w:spacing w:after="75" w:line="240" w:lineRule="exact"/>
      </w:pPr>
      <w:r>
        <w:rPr>
          <w:rStyle w:val="51"/>
          <w:b/>
          <w:bCs/>
        </w:rPr>
        <w:t>начина на съхраняването им.</w:t>
      </w:r>
    </w:p>
    <w:p w:rsidR="00AE71D0" w:rsidRDefault="00FD7B0B">
      <w:pPr>
        <w:pStyle w:val="20"/>
        <w:framePr w:w="8376" w:h="2823" w:hRule="exact" w:wrap="none" w:vAnchor="page" w:hAnchor="page" w:x="2179" w:y="9375"/>
        <w:shd w:val="clear" w:color="auto" w:fill="auto"/>
        <w:spacing w:before="0" w:line="221" w:lineRule="exact"/>
        <w:ind w:firstLine="620"/>
      </w:pPr>
      <w:r>
        <w:rPr>
          <w:rStyle w:val="21"/>
        </w:rPr>
        <w:t>Дълготрайните материални активи са в размер на 26646.83 лв. и се съхраняват адекватно.</w:t>
      </w:r>
    </w:p>
    <w:p w:rsidR="00AE71D0" w:rsidRDefault="00FD7B0B">
      <w:pPr>
        <w:pStyle w:val="50"/>
        <w:framePr w:w="8376" w:h="816" w:hRule="exact" w:wrap="none" w:vAnchor="page" w:hAnchor="page" w:x="2179" w:y="12452"/>
        <w:shd w:val="clear" w:color="auto" w:fill="auto"/>
        <w:tabs>
          <w:tab w:val="left" w:leader="hyphen" w:pos="1174"/>
        </w:tabs>
        <w:spacing w:line="240" w:lineRule="exact"/>
        <w:ind w:right="404" w:firstLine="620"/>
      </w:pPr>
      <w:r>
        <w:rPr>
          <w:rStyle w:val="52"/>
          <w:b/>
          <w:bCs/>
        </w:rPr>
        <w:t>—</w:t>
      </w:r>
      <w:r>
        <w:rPr>
          <w:rStyle w:val="52"/>
          <w:b/>
          <w:bCs/>
        </w:rPr>
        <w:tab/>
      </w:r>
      <w:r>
        <w:rPr>
          <w:rStyle w:val="53"/>
          <w:b/>
          <w:bCs/>
        </w:rPr>
        <w:t>Кадрово</w:t>
      </w:r>
      <w:r>
        <w:rPr>
          <w:rStyle w:val="52"/>
          <w:b/>
          <w:bCs/>
        </w:rPr>
        <w:t>—обезпеча</w:t>
      </w:r>
      <w:r>
        <w:rPr>
          <w:rStyle w:val="51"/>
          <w:b/>
          <w:bCs/>
        </w:rPr>
        <w:t xml:space="preserve">ване на дейността на </w:t>
      </w:r>
      <w:r>
        <w:rPr>
          <w:rStyle w:val="5105pt0"/>
        </w:rPr>
        <w:t>чи</w:t>
      </w:r>
      <w:r>
        <w:rPr>
          <w:rStyle w:val="5105pt1"/>
        </w:rPr>
        <w:t>талище™</w:t>
      </w:r>
    </w:p>
    <w:p w:rsidR="00AE71D0" w:rsidRDefault="00FD7B0B">
      <w:pPr>
        <w:pStyle w:val="50"/>
        <w:framePr w:w="8376" w:h="816" w:hRule="exact" w:wrap="none" w:vAnchor="page" w:hAnchor="page" w:x="2179" w:y="12452"/>
        <w:shd w:val="clear" w:color="auto" w:fill="auto"/>
        <w:spacing w:line="240" w:lineRule="exact"/>
        <w:ind w:left="4" w:right="404"/>
      </w:pPr>
      <w:r>
        <w:rPr>
          <w:rStyle w:val="51"/>
          <w:b/>
          <w:bCs/>
        </w:rPr>
        <w:t>управление на човешките пе</w:t>
      </w:r>
      <w:r>
        <w:rPr>
          <w:rStyle w:val="52"/>
          <w:b/>
          <w:bCs/>
        </w:rPr>
        <w:t>супри.</w:t>
      </w:r>
    </w:p>
    <w:p w:rsidR="00AE71D0" w:rsidRDefault="00FD7B0B">
      <w:pPr>
        <w:pStyle w:val="60"/>
        <w:framePr w:w="8376" w:h="816" w:hRule="exact" w:wrap="none" w:vAnchor="page" w:hAnchor="page" w:x="2179" w:y="12452"/>
        <w:shd w:val="clear" w:color="auto" w:fill="auto"/>
        <w:tabs>
          <w:tab w:val="left" w:leader="hyphen" w:pos="3013"/>
        </w:tabs>
        <w:spacing w:after="0" w:line="240" w:lineRule="exact"/>
        <w:ind w:left="400" w:right="404"/>
      </w:pPr>
      <w:r>
        <w:rPr>
          <w:rStyle w:val="61"/>
          <w:b/>
          <w:bCs/>
          <w:lang w:val="bg-BG" w:eastAsia="bg-BG" w:bidi="bg-BG"/>
        </w:rPr>
        <w:tab/>
      </w:r>
      <w:r>
        <w:rPr>
          <w:rStyle w:val="61"/>
          <w:b/>
          <w:bCs/>
        </w:rPr>
        <w:t>ESSIES^</w:t>
      </w:r>
    </w:p>
    <w:p w:rsidR="00AE71D0" w:rsidRDefault="00FD7B0B">
      <w:pPr>
        <w:pStyle w:val="50"/>
        <w:framePr w:wrap="none" w:vAnchor="page" w:hAnchor="page" w:x="10277" w:y="12577"/>
        <w:shd w:val="clear" w:color="auto" w:fill="auto"/>
        <w:spacing w:line="240" w:lineRule="exact"/>
        <w:jc w:val="left"/>
      </w:pPr>
      <w:r>
        <w:rPr>
          <w:rStyle w:val="52"/>
          <w:b/>
          <w:bCs/>
        </w:rPr>
        <w:t>и</w:t>
      </w:r>
    </w:p>
    <w:p w:rsidR="00AE71D0" w:rsidRDefault="00FD7B0B">
      <w:pPr>
        <w:pStyle w:val="a9"/>
        <w:framePr w:wrap="none" w:vAnchor="page" w:hAnchor="page" w:x="7905" w:y="13095"/>
        <w:shd w:val="clear" w:color="auto" w:fill="auto"/>
        <w:spacing w:line="140" w:lineRule="exact"/>
        <w:jc w:val="both"/>
      </w:pPr>
      <w:r>
        <w:rPr>
          <w:rStyle w:val="7pt2pt"/>
        </w:rPr>
        <w:t>■Ж</w:t>
      </w:r>
    </w:p>
    <w:p w:rsidR="00AE71D0" w:rsidRDefault="00AE71D0">
      <w:pPr>
        <w:framePr w:wrap="none" w:vAnchor="page" w:hAnchor="page" w:x="8827" w:y="12945"/>
      </w:pPr>
    </w:p>
    <w:p w:rsidR="00AE71D0" w:rsidRDefault="00FD7B0B">
      <w:pPr>
        <w:pStyle w:val="20"/>
        <w:framePr w:w="8376" w:h="1450" w:hRule="exact" w:wrap="none" w:vAnchor="page" w:hAnchor="page" w:x="2179" w:y="13287"/>
        <w:shd w:val="clear" w:color="auto" w:fill="auto"/>
        <w:spacing w:before="0" w:line="278" w:lineRule="exact"/>
        <w:ind w:left="4" w:right="10" w:firstLine="620"/>
      </w:pPr>
      <w:r>
        <w:rPr>
          <w:rStyle w:val="21"/>
        </w:rPr>
        <w:t>През 2018 г. в НЧ „Просвета-1862“ гр. Перущица има 4 броя щатни</w:t>
      </w:r>
      <w:r>
        <w:rPr>
          <w:rStyle w:val="21"/>
        </w:rPr>
        <w:br/>
        <w:t>длъжности. Служителите по трудовите правоотношения са е връчени</w:t>
      </w:r>
      <w:r>
        <w:rPr>
          <w:rStyle w:val="21"/>
        </w:rPr>
        <w:br/>
        <w:t>длъжности характеристики и няма данни за нарушения : на^Друдовата</w:t>
      </w:r>
    </w:p>
    <w:p w:rsidR="00AE71D0" w:rsidRDefault="00FD7B0B">
      <w:pPr>
        <w:pStyle w:val="70"/>
        <w:framePr w:wrap="none" w:vAnchor="page" w:hAnchor="page" w:x="2904" w:y="14372"/>
        <w:shd w:val="clear" w:color="auto" w:fill="auto"/>
        <w:spacing w:line="300" w:lineRule="exact"/>
      </w:pPr>
      <w:r>
        <w:rPr>
          <w:rStyle w:val="71"/>
          <w:i/>
          <w:iCs/>
        </w:rPr>
        <w:t xml:space="preserve">WS//0 </w:t>
      </w:r>
      <w:r>
        <w:rPr>
          <w:rStyle w:val="71"/>
          <w:i/>
          <w:iCs/>
          <w:lang w:val="bg-BG" w:eastAsia="bg-BG" w:bidi="bg-BG"/>
        </w:rPr>
        <w:t>О</w:t>
      </w:r>
    </w:p>
    <w:p w:rsidR="00AE71D0" w:rsidRDefault="00AE71D0">
      <w:pPr>
        <w:rPr>
          <w:sz w:val="2"/>
          <w:szCs w:val="2"/>
        </w:rPr>
        <w:sectPr w:rsidR="00AE71D0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E71D0" w:rsidRDefault="0034491C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9" behindDoc="1" locked="0" layoutInCell="1" allowOverlap="1">
                <wp:simplePos x="0" y="0"/>
                <wp:positionH relativeFrom="page">
                  <wp:posOffset>5618480</wp:posOffset>
                </wp:positionH>
                <wp:positionV relativeFrom="page">
                  <wp:posOffset>5459095</wp:posOffset>
                </wp:positionV>
                <wp:extent cx="194945" cy="313690"/>
                <wp:effectExtent l="0" t="1270" r="0" b="0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945" cy="313690"/>
                        </a:xfrm>
                        <a:prstGeom prst="rect">
                          <a:avLst/>
                        </a:prstGeom>
                        <a:solidFill>
                          <a:srgbClr val="F8F8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42.4pt;margin-top:429.85pt;width:15.35pt;height:24.7pt;z-index:-2516587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" fillcolor="#f8f8fb" stroked="f">
                <w10:wrap anchorx="page" anchory="page"/>
              </v:rect>
            </w:pict>
          </mc:Fallback>
        </mc:AlternateContent>
      </w:r>
    </w:p>
    <w:p w:rsidR="00AE71D0" w:rsidRDefault="00FD7B0B">
      <w:pPr>
        <w:pStyle w:val="20"/>
        <w:framePr w:w="8726" w:h="832" w:hRule="exact" w:wrap="none" w:vAnchor="page" w:hAnchor="page" w:x="2004" w:y="1269"/>
        <w:shd w:val="clear" w:color="auto" w:fill="auto"/>
        <w:spacing w:before="0" w:after="18" w:line="240" w:lineRule="exact"/>
        <w:jc w:val="left"/>
      </w:pPr>
      <w:r>
        <w:rPr>
          <w:rStyle w:val="21"/>
        </w:rPr>
        <w:t>дисциплина.</w:t>
      </w:r>
    </w:p>
    <w:p w:rsidR="00AE71D0" w:rsidRDefault="00FD7B0B">
      <w:pPr>
        <w:pStyle w:val="20"/>
        <w:framePr w:w="8726" w:h="832" w:hRule="exact" w:wrap="none" w:vAnchor="page" w:hAnchor="page" w:x="2004" w:y="1269"/>
        <w:shd w:val="clear" w:color="auto" w:fill="auto"/>
        <w:spacing w:before="0" w:line="250" w:lineRule="exact"/>
        <w:ind w:right="420" w:firstLine="620"/>
        <w:jc w:val="left"/>
      </w:pPr>
      <w:r>
        <w:rPr>
          <w:rStyle w:val="21"/>
        </w:rPr>
        <w:t>В проверителната комисия не са постъпвали предложения от членовете, по която да се взема отношение.</w:t>
      </w:r>
    </w:p>
    <w:p w:rsidR="00AE71D0" w:rsidRDefault="00FD7B0B">
      <w:pPr>
        <w:pStyle w:val="a0"/>
        <w:framePr w:w="8328" w:h="600" w:hRule="exact" w:wrap="none" w:vAnchor="page" w:hAnchor="page" w:x="1999" w:y="2626"/>
        <w:shd w:val="clear" w:color="auto" w:fill="auto"/>
        <w:spacing w:line="264" w:lineRule="exact"/>
      </w:pPr>
      <w:r>
        <w:rPr>
          <w:rStyle w:val="aa"/>
        </w:rPr>
        <w:t xml:space="preserve">Заключение на комисията: </w:t>
      </w:r>
      <w:r>
        <w:rPr>
          <w:rStyle w:val="a1"/>
        </w:rPr>
        <w:t xml:space="preserve">Читалището функционира в съответствие със Закона за народните читалища, действащия Устав и </w:t>
      </w:r>
      <w:r>
        <w:rPr>
          <w:rStyle w:val="a1"/>
        </w:rPr>
        <w:t>приетия бюджет.</w:t>
      </w:r>
    </w:p>
    <w:p w:rsidR="00AE71D0" w:rsidRDefault="0034491C">
      <w:pPr>
        <w:framePr w:wrap="none" w:vAnchor="page" w:hAnchor="page" w:x="2052" w:y="783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914900" cy="1219200"/>
            <wp:effectExtent l="0" t="0" r="0" b="0"/>
            <wp:docPr id="2" name="Picture 2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1D0" w:rsidRDefault="0034491C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30" behindDoc="1" locked="0" layoutInCell="1" allowOverlap="1">
            <wp:simplePos x="0" y="0"/>
            <wp:positionH relativeFrom="page">
              <wp:posOffset>1271905</wp:posOffset>
            </wp:positionH>
            <wp:positionV relativeFrom="page">
              <wp:posOffset>2096770</wp:posOffset>
            </wp:positionV>
            <wp:extent cx="5541010" cy="2188210"/>
            <wp:effectExtent l="0" t="0" r="2540" b="2540"/>
            <wp:wrapNone/>
            <wp:docPr id="5" name="Picture 5" descr="C:\Users\User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218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71D0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B0B" w:rsidRDefault="00FD7B0B">
      <w:r>
        <w:separator/>
      </w:r>
    </w:p>
  </w:endnote>
  <w:endnote w:type="continuationSeparator" w:id="0">
    <w:p w:rsidR="00FD7B0B" w:rsidRDefault="00FD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B0B" w:rsidRDefault="00FD7B0B"/>
  </w:footnote>
  <w:footnote w:type="continuationSeparator" w:id="0">
    <w:p w:rsidR="00FD7B0B" w:rsidRDefault="00FD7B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901AD"/>
    <w:multiLevelType w:val="multilevel"/>
    <w:tmpl w:val="FCBE8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D0"/>
    <w:rsid w:val="0034491C"/>
    <w:rsid w:val="00AE71D0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лавие #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ен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ен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">
    <w:name w:val="Основен текст (4)_"/>
    <w:basedOn w:val="DefaultParagraphFont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ен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_"/>
    <w:basedOn w:val="DefaultParagraphFont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ен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52">
    <w:name w:val="Основен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105pt">
    <w:name w:val="Основен текст (5) + 10;5 pt;Не е удебелен;Малки букви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bg-BG" w:eastAsia="bg-BG" w:bidi="bg-BG"/>
    </w:rPr>
  </w:style>
  <w:style w:type="character" w:customStyle="1" w:styleId="510pt">
    <w:name w:val="Основен текст (5) + 1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bg-BG" w:eastAsia="bg-BG" w:bidi="bg-BG"/>
    </w:rPr>
  </w:style>
  <w:style w:type="character" w:customStyle="1" w:styleId="53">
    <w:name w:val="Основен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4">
    <w:name w:val="Основен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a">
    <w:name w:val="Заглавие на изображение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1">
    <w:name w:val="Заглавие на изображение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2">
    <w:name w:val="Горен или долен колонтитул_"/>
    <w:basedOn w:val="DefaultParagraphFont"/>
    <w:link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Горен или долен колонтитул"/>
    <w:basedOn w:val="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character" w:customStyle="1" w:styleId="22">
    <w:name w:val="Заглавие на таблица (2)_"/>
    <w:basedOn w:val="DefaultParagraphFont"/>
    <w:link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4">
    <w:name w:val="Заглавие на таблица (2)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5">
    <w:name w:val="Заглавие на таблица_"/>
    <w:basedOn w:val="DefaultParagraphFont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Заглавие на таблица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5">
    <w:name w:val="Основен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CenturyGothic">
    <w:name w:val="Основен текст (2) + Century Gothic;Курсив"/>
    <w:basedOn w:val="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6">
    <w:name w:val="Основен текст (2) + Удебелен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5pt">
    <w:name w:val="Основен текст (2) + 15 pt;Удебелен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bg-BG" w:eastAsia="bg-BG" w:bidi="bg-BG"/>
    </w:rPr>
  </w:style>
  <w:style w:type="character" w:customStyle="1" w:styleId="55">
    <w:name w:val="Основен текст (5) + Не е удебелен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105pt0">
    <w:name w:val="Основен текст (5) + 10;5 pt;Не е удебелен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bg-BG" w:eastAsia="bg-BG" w:bidi="bg-BG"/>
    </w:rPr>
  </w:style>
  <w:style w:type="character" w:customStyle="1" w:styleId="5105pt1">
    <w:name w:val="Основен текст (5) + 10;5 pt;Не е удебелен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character" w:customStyle="1" w:styleId="6">
    <w:name w:val="Основен текст (6)_"/>
    <w:basedOn w:val="DefaultParagraphFont"/>
    <w:link w:val="60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-30"/>
      <w:u w:val="none"/>
      <w:lang w:val="en-US" w:eastAsia="en-US" w:bidi="en-US"/>
    </w:rPr>
  </w:style>
  <w:style w:type="character" w:customStyle="1" w:styleId="61">
    <w:name w:val="Основен текст (6)"/>
    <w:basedOn w:val="6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a8">
    <w:name w:val="Други_"/>
    <w:basedOn w:val="DefaultParagraphFont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pt2pt">
    <w:name w:val="Други + 7 pt;Курсив;Разредка 2 p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7">
    <w:name w:val="Основен текст (7)_"/>
    <w:basedOn w:val="DefaultParagraphFont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30"/>
      <w:szCs w:val="30"/>
      <w:u w:val="none"/>
      <w:lang w:val="en-US" w:eastAsia="en-US" w:bidi="en-US"/>
    </w:rPr>
  </w:style>
  <w:style w:type="character" w:customStyle="1" w:styleId="71">
    <w:name w:val="Основен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aa">
    <w:name w:val="Заглавие на изображение + Удебелен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before="180" w:after="720" w:line="26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before="72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before="840" w:after="180" w:line="0" w:lineRule="atLeast"/>
      <w:ind w:firstLine="5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0">
    <w:name w:val="Заглавие на изображение"/>
    <w:basedOn w:val="Normal"/>
    <w:link w:val="a"/>
    <w:pPr>
      <w:shd w:val="clear" w:color="auto" w:fill="FFFFFF"/>
      <w:spacing w:line="408" w:lineRule="exact"/>
      <w:ind w:firstLine="620"/>
    </w:pPr>
    <w:rPr>
      <w:rFonts w:ascii="Times New Roman" w:eastAsia="Times New Roman" w:hAnsi="Times New Roman" w:cs="Times New Roman"/>
    </w:rPr>
  </w:style>
  <w:style w:type="paragraph" w:customStyle="1" w:styleId="a3">
    <w:name w:val="Горен или долен колонтитул"/>
    <w:basedOn w:val="Normal"/>
    <w:link w:val="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Заглавие на таблица (2)"/>
    <w:basedOn w:val="Normal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a6">
    <w:name w:val="Заглавие на таблица"/>
    <w:basedOn w:val="Normal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after="240" w:line="0" w:lineRule="atLeast"/>
      <w:jc w:val="both"/>
    </w:pPr>
    <w:rPr>
      <w:rFonts w:ascii="Courier New" w:eastAsia="Courier New" w:hAnsi="Courier New" w:cs="Courier New"/>
      <w:b/>
      <w:bCs/>
      <w:spacing w:val="-30"/>
      <w:lang w:val="en-US" w:eastAsia="en-US" w:bidi="en-US"/>
    </w:rPr>
  </w:style>
  <w:style w:type="paragraph" w:customStyle="1" w:styleId="a9">
    <w:name w:val="Други"/>
    <w:basedOn w:val="Normal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ен текст (7)"/>
    <w:basedOn w:val="Normal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30"/>
      <w:szCs w:val="3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лавие #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ен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ен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">
    <w:name w:val="Основен текст (4)_"/>
    <w:basedOn w:val="DefaultParagraphFont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ен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_"/>
    <w:basedOn w:val="DefaultParagraphFont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ен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52">
    <w:name w:val="Основен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105pt">
    <w:name w:val="Основен текст (5) + 10;5 pt;Не е удебелен;Малки букви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bg-BG" w:eastAsia="bg-BG" w:bidi="bg-BG"/>
    </w:rPr>
  </w:style>
  <w:style w:type="character" w:customStyle="1" w:styleId="510pt">
    <w:name w:val="Основен текст (5) + 1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bg-BG" w:eastAsia="bg-BG" w:bidi="bg-BG"/>
    </w:rPr>
  </w:style>
  <w:style w:type="character" w:customStyle="1" w:styleId="53">
    <w:name w:val="Основен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4">
    <w:name w:val="Основен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a">
    <w:name w:val="Заглавие на изображение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1">
    <w:name w:val="Заглавие на изображение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2">
    <w:name w:val="Горен или долен колонтитул_"/>
    <w:basedOn w:val="DefaultParagraphFont"/>
    <w:link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Горен или долен колонтитул"/>
    <w:basedOn w:val="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character" w:customStyle="1" w:styleId="22">
    <w:name w:val="Заглавие на таблица (2)_"/>
    <w:basedOn w:val="DefaultParagraphFont"/>
    <w:link w:val="2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4">
    <w:name w:val="Заглавие на таблица (2)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5">
    <w:name w:val="Заглавие на таблица_"/>
    <w:basedOn w:val="DefaultParagraphFont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Заглавие на таблица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5">
    <w:name w:val="Основен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CenturyGothic">
    <w:name w:val="Основен текст (2) + Century Gothic;Курсив"/>
    <w:basedOn w:val="2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6">
    <w:name w:val="Основен текст (2) + Удебелен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5pt">
    <w:name w:val="Основен текст (2) + 15 pt;Удебелен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bg-BG" w:eastAsia="bg-BG" w:bidi="bg-BG"/>
    </w:rPr>
  </w:style>
  <w:style w:type="character" w:customStyle="1" w:styleId="55">
    <w:name w:val="Основен текст (5) + Не е удебелен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105pt0">
    <w:name w:val="Основен текст (5) + 10;5 pt;Не е удебелен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bg-BG" w:eastAsia="bg-BG" w:bidi="bg-BG"/>
    </w:rPr>
  </w:style>
  <w:style w:type="character" w:customStyle="1" w:styleId="5105pt1">
    <w:name w:val="Основен текст (5) + 10;5 pt;Не е удебелен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bg-BG" w:eastAsia="bg-BG" w:bidi="bg-BG"/>
    </w:rPr>
  </w:style>
  <w:style w:type="character" w:customStyle="1" w:styleId="6">
    <w:name w:val="Основен текст (6)_"/>
    <w:basedOn w:val="DefaultParagraphFont"/>
    <w:link w:val="60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-30"/>
      <w:u w:val="none"/>
      <w:lang w:val="en-US" w:eastAsia="en-US" w:bidi="en-US"/>
    </w:rPr>
  </w:style>
  <w:style w:type="character" w:customStyle="1" w:styleId="61">
    <w:name w:val="Основен текст (6)"/>
    <w:basedOn w:val="6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a8">
    <w:name w:val="Други_"/>
    <w:basedOn w:val="DefaultParagraphFont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pt2pt">
    <w:name w:val="Други + 7 pt;Курсив;Разредка 2 pt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14"/>
      <w:szCs w:val="14"/>
      <w:u w:val="none"/>
      <w:lang w:val="bg-BG" w:eastAsia="bg-BG" w:bidi="bg-BG"/>
    </w:rPr>
  </w:style>
  <w:style w:type="character" w:customStyle="1" w:styleId="7">
    <w:name w:val="Основен текст (7)_"/>
    <w:basedOn w:val="DefaultParagraphFont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30"/>
      <w:szCs w:val="30"/>
      <w:u w:val="none"/>
      <w:lang w:val="en-US" w:eastAsia="en-US" w:bidi="en-US"/>
    </w:rPr>
  </w:style>
  <w:style w:type="character" w:customStyle="1" w:styleId="71">
    <w:name w:val="Основен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aa">
    <w:name w:val="Заглавие на изображение + Удебелен"/>
    <w:basedOn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before="180" w:after="720" w:line="26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before="72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ен текст (4)"/>
    <w:basedOn w:val="Normal"/>
    <w:link w:val="4"/>
    <w:pPr>
      <w:shd w:val="clear" w:color="auto" w:fill="FFFFFF"/>
      <w:spacing w:before="840" w:after="180" w:line="0" w:lineRule="atLeast"/>
      <w:ind w:firstLine="5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ен текст (5)"/>
    <w:basedOn w:val="Normal"/>
    <w:link w:val="5"/>
    <w:pPr>
      <w:shd w:val="clear" w:color="auto" w:fill="FFFFFF"/>
      <w:spacing w:line="40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0">
    <w:name w:val="Заглавие на изображение"/>
    <w:basedOn w:val="Normal"/>
    <w:link w:val="a"/>
    <w:pPr>
      <w:shd w:val="clear" w:color="auto" w:fill="FFFFFF"/>
      <w:spacing w:line="408" w:lineRule="exact"/>
      <w:ind w:firstLine="620"/>
    </w:pPr>
    <w:rPr>
      <w:rFonts w:ascii="Times New Roman" w:eastAsia="Times New Roman" w:hAnsi="Times New Roman" w:cs="Times New Roman"/>
    </w:rPr>
  </w:style>
  <w:style w:type="paragraph" w:customStyle="1" w:styleId="a3">
    <w:name w:val="Горен или долен колонтитул"/>
    <w:basedOn w:val="Normal"/>
    <w:link w:val="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Заглавие на таблица (2)"/>
    <w:basedOn w:val="Normal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a6">
    <w:name w:val="Заглавие на таблица"/>
    <w:basedOn w:val="Normal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ен текст (6)"/>
    <w:basedOn w:val="Normal"/>
    <w:link w:val="6"/>
    <w:pPr>
      <w:shd w:val="clear" w:color="auto" w:fill="FFFFFF"/>
      <w:spacing w:after="240" w:line="0" w:lineRule="atLeast"/>
      <w:jc w:val="both"/>
    </w:pPr>
    <w:rPr>
      <w:rFonts w:ascii="Courier New" w:eastAsia="Courier New" w:hAnsi="Courier New" w:cs="Courier New"/>
      <w:b/>
      <w:bCs/>
      <w:spacing w:val="-30"/>
      <w:lang w:val="en-US" w:eastAsia="en-US" w:bidi="en-US"/>
    </w:rPr>
  </w:style>
  <w:style w:type="paragraph" w:customStyle="1" w:styleId="a9">
    <w:name w:val="Други"/>
    <w:basedOn w:val="Normal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ен текст (7)"/>
    <w:basedOn w:val="Normal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30"/>
      <w:szCs w:val="3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2020-11-04T10:52:00Z</dcterms:created>
  <dcterms:modified xsi:type="dcterms:W3CDTF">2020-11-04T10:52:00Z</dcterms:modified>
</cp:coreProperties>
</file>